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</w:t>
      </w:r>
      <w:bookmarkStart w:id="0" w:name="_GoBack"/>
      <w:bookmarkEnd w:id="0"/>
      <w:r w:rsidRPr="00765371">
        <w:rPr>
          <w:rFonts w:ascii="Calibri" w:eastAsia="Times New Roman" w:hAnsi="Calibri" w:cs="Calibri"/>
          <w:b/>
          <w:bCs/>
          <w:sz w:val="48"/>
          <w:szCs w:val="48"/>
        </w:rPr>
        <w:t>NIKAT W SPRAWIE  JAKOŚCI WODY</w:t>
      </w:r>
    </w:p>
    <w:p w:rsidR="00765371" w:rsidRPr="00765371" w:rsidRDefault="00EE42F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05.07</w:t>
      </w:r>
      <w:r w:rsidR="00765371"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.2022r. 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765371" w:rsidRPr="00765371" w:rsidRDefault="00765371" w:rsidP="00765371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765371" w:rsidRPr="00765371" w:rsidRDefault="00765371" w:rsidP="007653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EE42F1">
        <w:rPr>
          <w:rFonts w:ascii="Calibri" w:eastAsia="Times New Roman" w:hAnsi="Calibri" w:cs="Calibri"/>
          <w:sz w:val="32"/>
          <w:szCs w:val="32"/>
        </w:rPr>
        <w:t xml:space="preserve">                        z dn. 24</w:t>
      </w:r>
      <w:r w:rsidR="00596F67">
        <w:rPr>
          <w:rFonts w:ascii="Calibri" w:eastAsia="Times New Roman" w:hAnsi="Calibri" w:cs="Calibri"/>
          <w:sz w:val="32"/>
          <w:szCs w:val="32"/>
        </w:rPr>
        <w:t>.06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.2022 r.  oraz bieżącej analizy pomiarów automatycznych i manualnych, woda w niecce basenu spełnia wymagania fizykochemiczne i mikrobiologiczne określone w w/w  rozporządzeniu. 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6E1572" w:rsidRDefault="006E1572"/>
    <w:sectPr w:rsidR="006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1"/>
    <w:rsid w:val="00104883"/>
    <w:rsid w:val="00596F67"/>
    <w:rsid w:val="006E1572"/>
    <w:rsid w:val="00765371"/>
    <w:rsid w:val="00E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BDA8"/>
  <w15:chartTrackingRefBased/>
  <w15:docId w15:val="{EF16CE47-DAC1-47C5-A1B9-1C03388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2022-06-28T08:01:00Z</cp:lastPrinted>
  <dcterms:created xsi:type="dcterms:W3CDTF">2022-07-06T12:41:00Z</dcterms:created>
  <dcterms:modified xsi:type="dcterms:W3CDTF">2022-07-06T12:41:00Z</dcterms:modified>
</cp:coreProperties>
</file>